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16A75" w14:textId="77777777" w:rsidR="00AE32E7" w:rsidRDefault="00AE32E7">
      <w:pPr>
        <w:rPr>
          <w:lang w:val="fr-FR"/>
        </w:rPr>
      </w:pPr>
    </w:p>
    <w:p w14:paraId="1CC9ED53" w14:textId="31FC2D7A" w:rsidR="00574D9C" w:rsidRPr="009D754B" w:rsidRDefault="00574D9C" w:rsidP="00574D9C">
      <w:pPr>
        <w:jc w:val="center"/>
        <w:rPr>
          <w:rFonts w:ascii="Times New Roman" w:hAnsi="Times New Roman" w:cs="Times New Roman"/>
          <w:b/>
          <w:bCs/>
          <w:u w:val="single"/>
          <w:lang w:val="fr-FR"/>
        </w:rPr>
      </w:pPr>
      <w:r w:rsidRPr="009D754B">
        <w:rPr>
          <w:rFonts w:ascii="Times New Roman" w:hAnsi="Times New Roman" w:cs="Times New Roman"/>
          <w:b/>
          <w:bCs/>
          <w:u w:val="single"/>
          <w:lang w:val="fr-FR"/>
        </w:rPr>
        <w:t xml:space="preserve">Cahier de charge BSPD </w:t>
      </w:r>
      <w:r w:rsidR="009D754B" w:rsidRPr="009D754B">
        <w:rPr>
          <w:rFonts w:ascii="Times New Roman" w:hAnsi="Times New Roman" w:cs="Times New Roman"/>
          <w:b/>
          <w:bCs/>
          <w:u w:val="single"/>
          <w:lang w:val="en-GB"/>
        </w:rPr>
        <w:t>(Brake</w:t>
      </w:r>
      <w:r w:rsidRPr="009D754B">
        <w:rPr>
          <w:rFonts w:ascii="Times New Roman" w:hAnsi="Times New Roman" w:cs="Times New Roman"/>
          <w:b/>
          <w:bCs/>
          <w:u w:val="single"/>
          <w:lang w:val="en-GB"/>
        </w:rPr>
        <w:t xml:space="preserve"> </w:t>
      </w:r>
      <w:r w:rsidR="009D754B" w:rsidRPr="009D754B">
        <w:rPr>
          <w:rFonts w:ascii="Times New Roman" w:hAnsi="Times New Roman" w:cs="Times New Roman"/>
          <w:b/>
          <w:bCs/>
          <w:u w:val="single"/>
          <w:lang w:val="en-GB"/>
        </w:rPr>
        <w:t>System</w:t>
      </w:r>
      <w:r w:rsidRPr="009D754B">
        <w:rPr>
          <w:rFonts w:ascii="Times New Roman" w:hAnsi="Times New Roman" w:cs="Times New Roman"/>
          <w:b/>
          <w:bCs/>
          <w:u w:val="single"/>
          <w:lang w:val="en-GB"/>
        </w:rPr>
        <w:t xml:space="preserve"> Plausible Device)</w:t>
      </w:r>
    </w:p>
    <w:p w14:paraId="463335AD" w14:textId="77777777" w:rsidR="00C160F4" w:rsidRPr="007B3AA6" w:rsidRDefault="00C160F4" w:rsidP="00574D9C">
      <w:pPr>
        <w:jc w:val="center"/>
        <w:rPr>
          <w:rFonts w:ascii="Times New Roman" w:hAnsi="Times New Roman" w:cs="Times New Roman"/>
          <w:b/>
          <w:bCs/>
          <w:lang w:val="fr-FR"/>
        </w:rPr>
      </w:pPr>
    </w:p>
    <w:p w14:paraId="64C6EDE8" w14:textId="77777777" w:rsidR="00574D9C" w:rsidRPr="007B3AA6" w:rsidRDefault="00574D9C" w:rsidP="00574D9C">
      <w:pPr>
        <w:rPr>
          <w:rFonts w:ascii="Times New Roman" w:hAnsi="Times New Roman" w:cs="Times New Roman"/>
          <w:b/>
          <w:bCs/>
          <w:lang w:val="fr-FR"/>
        </w:rPr>
      </w:pPr>
    </w:p>
    <w:p w14:paraId="2260AF09" w14:textId="3F908670" w:rsidR="00574D9C" w:rsidRPr="007B3AA6" w:rsidRDefault="00574D9C" w:rsidP="007B3AA6">
      <w:pPr>
        <w:pStyle w:val="ListParagraph"/>
        <w:numPr>
          <w:ilvl w:val="0"/>
          <w:numId w:val="1"/>
        </w:numPr>
        <w:rPr>
          <w:rFonts w:ascii="Times New Roman" w:hAnsi="Times New Roman" w:cs="Times New Roman"/>
          <w:b/>
          <w:bCs/>
          <w:lang w:val="fr-FR"/>
        </w:rPr>
      </w:pPr>
      <w:r w:rsidRPr="007B3AA6">
        <w:rPr>
          <w:rFonts w:ascii="Times New Roman" w:hAnsi="Times New Roman" w:cs="Times New Roman"/>
          <w:b/>
          <w:bCs/>
          <w:lang w:val="fr-FR"/>
        </w:rPr>
        <w:t>Synoptique d’après le règlement FS 2025</w:t>
      </w:r>
    </w:p>
    <w:p w14:paraId="39F8A010" w14:textId="77777777" w:rsidR="00574D9C" w:rsidRDefault="00574D9C" w:rsidP="00574D9C">
      <w:pPr>
        <w:rPr>
          <w:rFonts w:ascii="Times New Roman" w:hAnsi="Times New Roman" w:cs="Times New Roman"/>
          <w:lang w:val="fr-FR"/>
        </w:rPr>
      </w:pPr>
    </w:p>
    <w:p w14:paraId="247F256E" w14:textId="54EB91C7" w:rsidR="00574D9C" w:rsidRDefault="00574D9C" w:rsidP="007B3AA6">
      <w:pPr>
        <w:jc w:val="both"/>
        <w:rPr>
          <w:rFonts w:ascii="Times New Roman" w:hAnsi="Times New Roman" w:cs="Times New Roman"/>
        </w:rPr>
      </w:pPr>
      <w:r>
        <w:rPr>
          <w:rFonts w:ascii="Times New Roman" w:hAnsi="Times New Roman" w:cs="Times New Roman"/>
          <w:lang w:val="fr-FR"/>
        </w:rPr>
        <w:t>L</w:t>
      </w:r>
      <w:r w:rsidR="00CB78C7">
        <w:rPr>
          <w:rFonts w:ascii="Times New Roman" w:hAnsi="Times New Roman" w:cs="Times New Roman"/>
          <w:lang w:val="fr-FR"/>
        </w:rPr>
        <w:t>e</w:t>
      </w:r>
      <w:r>
        <w:rPr>
          <w:rFonts w:ascii="Times New Roman" w:hAnsi="Times New Roman" w:cs="Times New Roman"/>
          <w:lang w:val="fr-FR"/>
        </w:rPr>
        <w:t xml:space="preserve"> BSPD : est</w:t>
      </w:r>
      <w:r w:rsidR="00CB78C7">
        <w:rPr>
          <w:rFonts w:ascii="Times New Roman" w:hAnsi="Times New Roman" w:cs="Times New Roman"/>
          <w:lang w:val="fr-FR"/>
        </w:rPr>
        <w:t xml:space="preserve"> </w:t>
      </w:r>
      <w:r>
        <w:rPr>
          <w:rFonts w:ascii="Times New Roman" w:hAnsi="Times New Roman" w:cs="Times New Roman"/>
          <w:lang w:val="fr-FR"/>
        </w:rPr>
        <w:t>u</w:t>
      </w:r>
      <w:r w:rsidRPr="00574D9C">
        <w:rPr>
          <w:rFonts w:ascii="Times New Roman" w:hAnsi="Times New Roman" w:cs="Times New Roman"/>
        </w:rPr>
        <w:t>n circuit autonome et non programmable,</w:t>
      </w:r>
      <w:r>
        <w:rPr>
          <w:rFonts w:ascii="Times New Roman" w:hAnsi="Times New Roman" w:cs="Times New Roman"/>
        </w:rPr>
        <w:t xml:space="preserve"> il</w:t>
      </w:r>
      <w:r w:rsidRPr="00574D9C">
        <w:rPr>
          <w:rFonts w:ascii="Times New Roman" w:hAnsi="Times New Roman" w:cs="Times New Roman"/>
        </w:rPr>
        <w:t xml:space="preserve"> doit ouvrir le </w:t>
      </w:r>
      <w:r>
        <w:rPr>
          <w:rFonts w:ascii="Times New Roman" w:hAnsi="Times New Roman" w:cs="Times New Roman"/>
        </w:rPr>
        <w:t>Shutdown Circuit (</w:t>
      </w:r>
      <w:r w:rsidRPr="00574D9C">
        <w:rPr>
          <w:rFonts w:ascii="Times New Roman" w:hAnsi="Times New Roman" w:cs="Times New Roman"/>
        </w:rPr>
        <w:t>SDC</w:t>
      </w:r>
      <w:r>
        <w:rPr>
          <w:rFonts w:ascii="Times New Roman" w:hAnsi="Times New Roman" w:cs="Times New Roman"/>
        </w:rPr>
        <w:t xml:space="preserve">) </w:t>
      </w:r>
      <w:r w:rsidRPr="00574D9C">
        <w:rPr>
          <w:rFonts w:ascii="Times New Roman" w:hAnsi="Times New Roman" w:cs="Times New Roman"/>
        </w:rPr>
        <w:t>lors d’un freinage brusque, à condition qu’une puissance égale ou supérieure à 5 kW soit délivrée aux moteurs.</w:t>
      </w:r>
    </w:p>
    <w:p w14:paraId="5CD4DC7D" w14:textId="77777777" w:rsidR="007B3AA6" w:rsidRDefault="007B3AA6" w:rsidP="007B3AA6">
      <w:pPr>
        <w:jc w:val="both"/>
        <w:rPr>
          <w:rFonts w:ascii="Times New Roman" w:hAnsi="Times New Roman" w:cs="Times New Roman"/>
        </w:rPr>
      </w:pPr>
    </w:p>
    <w:p w14:paraId="6A9234A7" w14:textId="574C42A6" w:rsidR="00C160F4" w:rsidRPr="00C160F4" w:rsidRDefault="00C160F4" w:rsidP="00C160F4">
      <w:pPr>
        <w:jc w:val="both"/>
        <w:rPr>
          <w:rFonts w:ascii="Times New Roman" w:hAnsi="Times New Roman" w:cs="Times New Roman"/>
        </w:rPr>
      </w:pPr>
      <w:r w:rsidRPr="00C160F4">
        <w:rPr>
          <w:rFonts w:ascii="Times New Roman" w:hAnsi="Times New Roman" w:cs="Times New Roman"/>
        </w:rPr>
        <w:t xml:space="preserve">L'expression "autonome" </w:t>
      </w:r>
      <w:r w:rsidR="00A70D17">
        <w:rPr>
          <w:rFonts w:ascii="Times New Roman" w:hAnsi="Times New Roman" w:cs="Times New Roman"/>
        </w:rPr>
        <w:t>selon le reglèment (</w:t>
      </w:r>
      <w:r w:rsidR="00A70D17" w:rsidRPr="00A70D17">
        <w:rPr>
          <w:rFonts w:ascii="Times New Roman" w:hAnsi="Times New Roman" w:cs="Times New Roman"/>
          <w:b/>
          <w:bCs/>
          <w:lang w:val="fr-FR"/>
        </w:rPr>
        <w:t>T11.6.4</w:t>
      </w:r>
      <w:r w:rsidR="00A70D17">
        <w:rPr>
          <w:rFonts w:ascii="Times New Roman" w:hAnsi="Times New Roman" w:cs="Times New Roman"/>
          <w:lang w:val="fr-FR"/>
        </w:rPr>
        <w:t xml:space="preserve">) </w:t>
      </w:r>
      <w:r w:rsidRPr="00C160F4">
        <w:rPr>
          <w:rFonts w:ascii="Times New Roman" w:hAnsi="Times New Roman" w:cs="Times New Roman"/>
        </w:rPr>
        <w:t>signifie qu'aucune fonctionnalité supplémentaire ne doit être intégrée dans les cartes électroniques nécessaires au BSPD. En pratique :</w:t>
      </w:r>
    </w:p>
    <w:p w14:paraId="7F8734F4" w14:textId="77777777" w:rsidR="00C160F4" w:rsidRPr="00C160F4" w:rsidRDefault="00C160F4" w:rsidP="00C160F4">
      <w:pPr>
        <w:pStyle w:val="ListParagraph"/>
        <w:numPr>
          <w:ilvl w:val="0"/>
          <w:numId w:val="4"/>
        </w:numPr>
        <w:jc w:val="both"/>
        <w:rPr>
          <w:rFonts w:ascii="Times New Roman" w:hAnsi="Times New Roman" w:cs="Times New Roman"/>
        </w:rPr>
      </w:pPr>
      <w:r w:rsidRPr="00C160F4">
        <w:rPr>
          <w:rFonts w:ascii="Times New Roman" w:hAnsi="Times New Roman" w:cs="Times New Roman"/>
          <w:b/>
          <w:bCs/>
        </w:rPr>
        <w:t xml:space="preserve">Fonctionnalité minimale : </w:t>
      </w:r>
      <w:r w:rsidRPr="00C160F4">
        <w:rPr>
          <w:rFonts w:ascii="Times New Roman" w:hAnsi="Times New Roman" w:cs="Times New Roman"/>
        </w:rPr>
        <w:t>Seules les connexions essentielles (alimentation, capteurs, SDC).</w:t>
      </w:r>
    </w:p>
    <w:p w14:paraId="6731DFCD" w14:textId="6229FACB" w:rsidR="00C160F4" w:rsidRDefault="00C160F4" w:rsidP="00C160F4">
      <w:pPr>
        <w:pStyle w:val="ListParagraph"/>
        <w:numPr>
          <w:ilvl w:val="0"/>
          <w:numId w:val="4"/>
        </w:numPr>
        <w:jc w:val="both"/>
        <w:rPr>
          <w:rFonts w:ascii="Times New Roman" w:hAnsi="Times New Roman" w:cs="Times New Roman"/>
        </w:rPr>
      </w:pPr>
      <w:r w:rsidRPr="00C160F4">
        <w:rPr>
          <w:rFonts w:ascii="Times New Roman" w:hAnsi="Times New Roman" w:cs="Times New Roman"/>
          <w:b/>
          <w:bCs/>
        </w:rPr>
        <w:t xml:space="preserve">Pas d'intermédiaires : </w:t>
      </w:r>
      <w:r w:rsidRPr="00C160F4">
        <w:rPr>
          <w:rFonts w:ascii="Times New Roman" w:hAnsi="Times New Roman" w:cs="Times New Roman"/>
        </w:rPr>
        <w:t>Les signaux d'alimentation et des capteurs arrivent directement au BSPD, sans passer par d'autres dispositifs.</w:t>
      </w:r>
    </w:p>
    <w:p w14:paraId="66338731" w14:textId="77777777" w:rsidR="00C160F4" w:rsidRPr="00C160F4" w:rsidRDefault="00C160F4" w:rsidP="00C160F4">
      <w:pPr>
        <w:jc w:val="both"/>
        <w:rPr>
          <w:rFonts w:ascii="Times New Roman" w:hAnsi="Times New Roman" w:cs="Times New Roman"/>
        </w:rPr>
      </w:pPr>
    </w:p>
    <w:p w14:paraId="0B0249F4" w14:textId="7A171F32" w:rsidR="00C160F4" w:rsidRPr="00C160F4" w:rsidRDefault="00C160F4" w:rsidP="00C160F4">
      <w:pPr>
        <w:jc w:val="both"/>
        <w:rPr>
          <w:rFonts w:ascii="Times New Roman" w:hAnsi="Times New Roman" w:cs="Times New Roman"/>
        </w:rPr>
      </w:pPr>
      <w:r w:rsidRPr="00C160F4">
        <w:rPr>
          <w:rFonts w:ascii="Times New Roman" w:hAnsi="Times New Roman" w:cs="Times New Roman"/>
          <w:b/>
          <w:bCs/>
        </w:rPr>
        <w:t>En d'autres mots</w:t>
      </w:r>
      <w:r w:rsidRPr="00C160F4">
        <w:rPr>
          <w:rFonts w:ascii="Times New Roman" w:hAnsi="Times New Roman" w:cs="Times New Roman"/>
        </w:rPr>
        <w:t xml:space="preserve"> : Le BSPD doit être un circuit simple et dédié, sans fonctions ou connexions superflues. Son objectif est uniquement de surveiller les capteurs et d'agir sur le SDC, tout en garantissant un chemin direct et sécurisé pour les signaux critiques. </w:t>
      </w:r>
    </w:p>
    <w:p w14:paraId="0C9BFC35" w14:textId="77777777" w:rsidR="00C160F4" w:rsidRDefault="00C160F4" w:rsidP="007B3AA6">
      <w:pPr>
        <w:jc w:val="both"/>
        <w:rPr>
          <w:rFonts w:ascii="Times New Roman" w:hAnsi="Times New Roman" w:cs="Times New Roman"/>
        </w:rPr>
      </w:pPr>
    </w:p>
    <w:p w14:paraId="3436063A" w14:textId="0BB5230E" w:rsidR="007B3AA6" w:rsidRPr="008E202F" w:rsidRDefault="007B3AA6" w:rsidP="007B3AA6">
      <w:pPr>
        <w:jc w:val="both"/>
        <w:rPr>
          <w:rFonts w:ascii="Times New Roman" w:hAnsi="Times New Roman" w:cs="Times New Roman"/>
          <w:color w:val="FF0000"/>
        </w:rPr>
      </w:pPr>
      <w:r w:rsidRPr="008E202F">
        <w:rPr>
          <w:rFonts w:ascii="Times New Roman" w:hAnsi="Times New Roman" w:cs="Times New Roman"/>
        </w:rPr>
        <w:t xml:space="preserve">Le SDC </w:t>
      </w:r>
      <w:r w:rsidR="00566DEA" w:rsidRPr="008E202F">
        <w:rPr>
          <w:rFonts w:ascii="Times New Roman" w:hAnsi="Times New Roman" w:cs="Times New Roman"/>
        </w:rPr>
        <w:t>doit rester</w:t>
      </w:r>
      <w:r w:rsidRPr="008E202F">
        <w:rPr>
          <w:rFonts w:ascii="Times New Roman" w:hAnsi="Times New Roman" w:cs="Times New Roman"/>
        </w:rPr>
        <w:t xml:space="preserve"> ouvert tant qu’il n’y a pas d’intervention manuelle pour redémarrer le Low Voltage Master Switch (LVMS)</w:t>
      </w:r>
      <w:r w:rsidR="00566DEA" w:rsidRPr="008E202F">
        <w:rPr>
          <w:rFonts w:ascii="Times New Roman" w:hAnsi="Times New Roman" w:cs="Times New Roman"/>
        </w:rPr>
        <w:t>.</w:t>
      </w:r>
      <w:r w:rsidR="008E202F" w:rsidRPr="008E202F">
        <w:rPr>
          <w:rFonts w:ascii="Times New Roman" w:hAnsi="Times New Roman" w:cs="Times New Roman"/>
        </w:rPr>
        <w:t xml:space="preserve"> Si aucune implausibilité n’est détectée pendant </w:t>
      </w:r>
      <w:r w:rsidR="008E202F" w:rsidRPr="008E202F">
        <w:rPr>
          <w:rFonts w:ascii="Times New Roman" w:hAnsi="Times New Roman" w:cs="Times New Roman"/>
          <w:b/>
          <w:bCs/>
        </w:rPr>
        <w:t>10 secondes</w:t>
      </w:r>
      <w:r w:rsidR="008E202F" w:rsidRPr="008E202F">
        <w:rPr>
          <w:rFonts w:ascii="Times New Roman" w:hAnsi="Times New Roman" w:cs="Times New Roman"/>
        </w:rPr>
        <w:t>, la BSPD peut se réinitialiser</w:t>
      </w:r>
      <w:r w:rsidR="008E202F">
        <w:rPr>
          <w:rFonts w:ascii="Times New Roman" w:hAnsi="Times New Roman" w:cs="Times New Roman"/>
        </w:rPr>
        <w:t xml:space="preserve"> i.e. </w:t>
      </w:r>
      <w:r w:rsidR="008E202F" w:rsidRPr="008E202F">
        <w:rPr>
          <w:rFonts w:ascii="Times New Roman" w:hAnsi="Times New Roman" w:cs="Times New Roman"/>
          <w:color w:val="FF0000"/>
        </w:rPr>
        <w:t>on garde le relais à l’etat 1 (fermé)</w:t>
      </w:r>
      <w:r w:rsidR="008E202F">
        <w:rPr>
          <w:rFonts w:ascii="Times New Roman" w:hAnsi="Times New Roman" w:cs="Times New Roman"/>
          <w:color w:val="FF0000"/>
        </w:rPr>
        <w:t>?</w:t>
      </w:r>
    </w:p>
    <w:p w14:paraId="6D5706A6" w14:textId="77777777" w:rsidR="008E202F" w:rsidRPr="008E202F" w:rsidRDefault="008E202F" w:rsidP="007B3AA6">
      <w:pPr>
        <w:jc w:val="both"/>
        <w:rPr>
          <w:rFonts w:ascii="Times New Roman" w:hAnsi="Times New Roman" w:cs="Times New Roman"/>
        </w:rPr>
      </w:pPr>
    </w:p>
    <w:p w14:paraId="107C061B" w14:textId="4D15EC11" w:rsidR="007B3AA6" w:rsidRDefault="007B3AA6" w:rsidP="007B3AA6">
      <w:pPr>
        <w:jc w:val="both"/>
        <w:rPr>
          <w:rFonts w:ascii="Times New Roman" w:hAnsi="Times New Roman" w:cs="Times New Roman"/>
        </w:rPr>
      </w:pPr>
      <w:r w:rsidRPr="007B3AA6">
        <w:rPr>
          <w:rFonts w:ascii="Times New Roman" w:hAnsi="Times New Roman" w:cs="Times New Roman"/>
        </w:rPr>
        <w:t xml:space="preserve">Les conditions qui entraînent l'ouverture du BSPD dans le cas d'une voiture électrique (EV), basées sur les </w:t>
      </w:r>
      <w:r>
        <w:rPr>
          <w:rFonts w:ascii="Times New Roman" w:hAnsi="Times New Roman" w:cs="Times New Roman"/>
        </w:rPr>
        <w:t>reglement</w:t>
      </w:r>
      <w:r w:rsidRPr="007B3AA6">
        <w:rPr>
          <w:rFonts w:ascii="Times New Roman" w:hAnsi="Times New Roman" w:cs="Times New Roman"/>
        </w:rPr>
        <w:t>, sont les suivantes :</w:t>
      </w:r>
    </w:p>
    <w:p w14:paraId="021386F1" w14:textId="77777777" w:rsidR="007B3AA6" w:rsidRPr="007B3AA6" w:rsidRDefault="007B3AA6" w:rsidP="007B3AA6">
      <w:pPr>
        <w:jc w:val="both"/>
        <w:rPr>
          <w:rFonts w:ascii="Times New Roman" w:hAnsi="Times New Roman" w:cs="Times New Roman"/>
        </w:rPr>
      </w:pPr>
    </w:p>
    <w:p w14:paraId="0102E160" w14:textId="77777777" w:rsidR="007B3AA6" w:rsidRDefault="007B3AA6" w:rsidP="007B3AA6">
      <w:pPr>
        <w:numPr>
          <w:ilvl w:val="0"/>
          <w:numId w:val="2"/>
        </w:numPr>
        <w:jc w:val="both"/>
        <w:rPr>
          <w:rFonts w:ascii="Times New Roman" w:hAnsi="Times New Roman" w:cs="Times New Roman"/>
        </w:rPr>
      </w:pPr>
      <w:r w:rsidRPr="007B3AA6">
        <w:rPr>
          <w:rFonts w:ascii="Times New Roman" w:hAnsi="Times New Roman" w:cs="Times New Roman"/>
          <w:b/>
          <w:bCs/>
        </w:rPr>
        <w:t>Freinage brusque détecté</w:t>
      </w:r>
      <w:r w:rsidRPr="007B3AA6">
        <w:rPr>
          <w:rFonts w:ascii="Times New Roman" w:hAnsi="Times New Roman" w:cs="Times New Roman"/>
        </w:rPr>
        <w:t> :</w:t>
      </w:r>
    </w:p>
    <w:p w14:paraId="3D26A2D8" w14:textId="77777777" w:rsidR="007B3AA6" w:rsidRPr="007B3AA6" w:rsidRDefault="007B3AA6" w:rsidP="007B3AA6">
      <w:pPr>
        <w:ind w:left="720"/>
        <w:jc w:val="both"/>
        <w:rPr>
          <w:rFonts w:ascii="Times New Roman" w:hAnsi="Times New Roman" w:cs="Times New Roman"/>
        </w:rPr>
      </w:pPr>
    </w:p>
    <w:p w14:paraId="668CCFC1" w14:textId="77777777" w:rsidR="007B3AA6" w:rsidRPr="007B3AA6" w:rsidRDefault="007B3AA6" w:rsidP="007B3AA6">
      <w:pPr>
        <w:numPr>
          <w:ilvl w:val="1"/>
          <w:numId w:val="2"/>
        </w:numPr>
        <w:jc w:val="both"/>
        <w:rPr>
          <w:rFonts w:ascii="Times New Roman" w:hAnsi="Times New Roman" w:cs="Times New Roman"/>
        </w:rPr>
      </w:pPr>
      <w:r w:rsidRPr="007B3AA6">
        <w:rPr>
          <w:rFonts w:ascii="Times New Roman" w:hAnsi="Times New Roman" w:cs="Times New Roman"/>
        </w:rPr>
        <w:t>Détecté grâce à un capteur de pression du système de freinage.</w:t>
      </w:r>
    </w:p>
    <w:p w14:paraId="430AFB93" w14:textId="77777777" w:rsidR="007B3AA6" w:rsidRDefault="007B3AA6" w:rsidP="007B3AA6">
      <w:pPr>
        <w:numPr>
          <w:ilvl w:val="1"/>
          <w:numId w:val="2"/>
        </w:numPr>
        <w:jc w:val="both"/>
        <w:rPr>
          <w:rFonts w:ascii="Times New Roman" w:hAnsi="Times New Roman" w:cs="Times New Roman"/>
        </w:rPr>
      </w:pPr>
      <w:r w:rsidRPr="007B3AA6">
        <w:rPr>
          <w:rFonts w:ascii="Times New Roman" w:hAnsi="Times New Roman" w:cs="Times New Roman"/>
        </w:rPr>
        <w:t>Le seuil est défini pour éviter le blocage des roues, avec une pression de freinage détectable ≤30 bars.</w:t>
      </w:r>
    </w:p>
    <w:p w14:paraId="34FA7C6E" w14:textId="77777777" w:rsidR="007B3AA6" w:rsidRPr="007B3AA6" w:rsidRDefault="007B3AA6" w:rsidP="007B3AA6">
      <w:pPr>
        <w:ind w:left="1440"/>
        <w:jc w:val="both"/>
        <w:rPr>
          <w:rFonts w:ascii="Times New Roman" w:hAnsi="Times New Roman" w:cs="Times New Roman"/>
        </w:rPr>
      </w:pPr>
    </w:p>
    <w:p w14:paraId="17622141" w14:textId="77777777" w:rsidR="007B3AA6" w:rsidRDefault="007B3AA6" w:rsidP="007B3AA6">
      <w:pPr>
        <w:numPr>
          <w:ilvl w:val="0"/>
          <w:numId w:val="2"/>
        </w:numPr>
        <w:jc w:val="both"/>
        <w:rPr>
          <w:rFonts w:ascii="Times New Roman" w:hAnsi="Times New Roman" w:cs="Times New Roman"/>
        </w:rPr>
      </w:pPr>
      <w:r w:rsidRPr="007B3AA6">
        <w:rPr>
          <w:rFonts w:ascii="Times New Roman" w:hAnsi="Times New Roman" w:cs="Times New Roman"/>
          <w:b/>
          <w:bCs/>
        </w:rPr>
        <w:t>Puissance élevée délivrée aux moteurs</w:t>
      </w:r>
      <w:r w:rsidRPr="007B3AA6">
        <w:rPr>
          <w:rFonts w:ascii="Times New Roman" w:hAnsi="Times New Roman" w:cs="Times New Roman"/>
        </w:rPr>
        <w:t> :</w:t>
      </w:r>
    </w:p>
    <w:p w14:paraId="040F4E4C" w14:textId="77777777" w:rsidR="007B3AA6" w:rsidRPr="007B3AA6" w:rsidRDefault="007B3AA6" w:rsidP="007B3AA6">
      <w:pPr>
        <w:ind w:left="720"/>
        <w:jc w:val="both"/>
        <w:rPr>
          <w:rFonts w:ascii="Times New Roman" w:hAnsi="Times New Roman" w:cs="Times New Roman"/>
        </w:rPr>
      </w:pPr>
    </w:p>
    <w:p w14:paraId="60417067" w14:textId="737E0E22" w:rsidR="007B3AA6" w:rsidRPr="007B3AA6" w:rsidRDefault="007B3AA6" w:rsidP="007B3AA6">
      <w:pPr>
        <w:numPr>
          <w:ilvl w:val="1"/>
          <w:numId w:val="2"/>
        </w:numPr>
        <w:jc w:val="both"/>
        <w:rPr>
          <w:rFonts w:ascii="Times New Roman" w:hAnsi="Times New Roman" w:cs="Times New Roman"/>
        </w:rPr>
      </w:pPr>
      <w:r w:rsidRPr="007B3AA6">
        <w:rPr>
          <w:rFonts w:ascii="Times New Roman" w:hAnsi="Times New Roman" w:cs="Times New Roman"/>
        </w:rPr>
        <w:t>Une puissance égale ou supérieure à 5 kW est mesurée via un capteur de courant sur le circuit DC (TS).</w:t>
      </w:r>
    </w:p>
    <w:p w14:paraId="3482F8BC" w14:textId="2822DBA6" w:rsidR="007B3AA6" w:rsidRDefault="007B3AA6" w:rsidP="007B3AA6">
      <w:pPr>
        <w:numPr>
          <w:ilvl w:val="1"/>
          <w:numId w:val="2"/>
        </w:numPr>
        <w:jc w:val="both"/>
        <w:rPr>
          <w:rFonts w:ascii="Times New Roman" w:hAnsi="Times New Roman" w:cs="Times New Roman"/>
        </w:rPr>
      </w:pPr>
      <w:r w:rsidRPr="007B3AA6">
        <w:rPr>
          <w:rFonts w:ascii="Times New Roman" w:hAnsi="Times New Roman" w:cs="Times New Roman"/>
        </w:rPr>
        <w:t xml:space="preserve">Ce seuil est fixé en fonction de la tension maximale du système </w:t>
      </w:r>
      <w:r>
        <w:rPr>
          <w:rFonts w:ascii="Times New Roman" w:hAnsi="Times New Roman" w:cs="Times New Roman"/>
        </w:rPr>
        <w:t>Tractive System (</w:t>
      </w:r>
      <w:r w:rsidRPr="007B3AA6">
        <w:rPr>
          <w:rFonts w:ascii="Times New Roman" w:hAnsi="Times New Roman" w:cs="Times New Roman"/>
        </w:rPr>
        <w:t>TS</w:t>
      </w:r>
      <w:r>
        <w:rPr>
          <w:rFonts w:ascii="Times New Roman" w:hAnsi="Times New Roman" w:cs="Times New Roman"/>
        </w:rPr>
        <w:t>)</w:t>
      </w:r>
      <w:r w:rsidRPr="007B3AA6">
        <w:rPr>
          <w:rFonts w:ascii="Times New Roman" w:hAnsi="Times New Roman" w:cs="Times New Roman"/>
        </w:rPr>
        <w:t>.</w:t>
      </w:r>
    </w:p>
    <w:p w14:paraId="3402E01B" w14:textId="77777777" w:rsidR="007B3AA6" w:rsidRPr="007B3AA6" w:rsidRDefault="007B3AA6" w:rsidP="007B3AA6">
      <w:pPr>
        <w:ind w:left="1080"/>
        <w:jc w:val="both"/>
        <w:rPr>
          <w:rFonts w:ascii="Times New Roman" w:hAnsi="Times New Roman" w:cs="Times New Roman"/>
        </w:rPr>
      </w:pPr>
    </w:p>
    <w:p w14:paraId="1F8D1AD7" w14:textId="77777777" w:rsidR="007B3AA6" w:rsidRDefault="007B3AA6" w:rsidP="007B3AA6">
      <w:pPr>
        <w:jc w:val="both"/>
        <w:rPr>
          <w:rFonts w:ascii="Times New Roman" w:hAnsi="Times New Roman" w:cs="Times New Roman"/>
        </w:rPr>
      </w:pPr>
      <w:r w:rsidRPr="007B3AA6">
        <w:rPr>
          <w:rFonts w:ascii="Times New Roman" w:hAnsi="Times New Roman" w:cs="Times New Roman"/>
          <w:color w:val="196B24" w:themeColor="accent3"/>
        </w:rPr>
        <w:t xml:space="preserve">Ces deux conditions doivent se produire </w:t>
      </w:r>
      <w:r w:rsidRPr="007B3AA6">
        <w:rPr>
          <w:rFonts w:ascii="Times New Roman" w:hAnsi="Times New Roman" w:cs="Times New Roman"/>
          <w:b/>
          <w:bCs/>
          <w:color w:val="196B24" w:themeColor="accent3"/>
        </w:rPr>
        <w:t>simultanément</w:t>
      </w:r>
      <w:r w:rsidRPr="007B3AA6">
        <w:rPr>
          <w:rFonts w:ascii="Times New Roman" w:hAnsi="Times New Roman" w:cs="Times New Roman"/>
          <w:color w:val="196B24" w:themeColor="accent3"/>
        </w:rPr>
        <w:t xml:space="preserve"> </w:t>
      </w:r>
      <w:r w:rsidRPr="007B3AA6">
        <w:rPr>
          <w:rFonts w:ascii="Times New Roman" w:hAnsi="Times New Roman" w:cs="Times New Roman"/>
        </w:rPr>
        <w:t>pour que le BSPD ouvre le SDC, ce qui coupe l'alimentation en haute tension du système.</w:t>
      </w:r>
    </w:p>
    <w:p w14:paraId="2A4CBAF7" w14:textId="77777777" w:rsidR="00A70D17" w:rsidRDefault="00A70D17" w:rsidP="007B3AA6">
      <w:pPr>
        <w:jc w:val="both"/>
        <w:rPr>
          <w:rFonts w:ascii="Times New Roman" w:hAnsi="Times New Roman" w:cs="Times New Roman"/>
        </w:rPr>
      </w:pPr>
    </w:p>
    <w:p w14:paraId="00961425" w14:textId="77777777" w:rsidR="00A70D17" w:rsidRDefault="00A70D17" w:rsidP="007B3AA6">
      <w:pPr>
        <w:jc w:val="both"/>
        <w:rPr>
          <w:rFonts w:ascii="Times New Roman" w:hAnsi="Times New Roman" w:cs="Times New Roman"/>
        </w:rPr>
      </w:pPr>
    </w:p>
    <w:p w14:paraId="520C00A9" w14:textId="77777777" w:rsidR="00A70D17" w:rsidRDefault="00A70D17" w:rsidP="007B3AA6">
      <w:pPr>
        <w:jc w:val="both"/>
        <w:rPr>
          <w:rFonts w:ascii="Times New Roman" w:hAnsi="Times New Roman" w:cs="Times New Roman"/>
        </w:rPr>
      </w:pPr>
    </w:p>
    <w:p w14:paraId="6968DFF1" w14:textId="77777777" w:rsidR="00A70D17" w:rsidRDefault="00A70D17" w:rsidP="007B3AA6">
      <w:pPr>
        <w:jc w:val="both"/>
        <w:rPr>
          <w:rFonts w:ascii="Times New Roman" w:hAnsi="Times New Roman" w:cs="Times New Roman"/>
        </w:rPr>
      </w:pPr>
    </w:p>
    <w:p w14:paraId="00D48D74" w14:textId="77777777" w:rsidR="000420BB" w:rsidRDefault="000420BB" w:rsidP="007B3AA6">
      <w:pPr>
        <w:jc w:val="both"/>
        <w:rPr>
          <w:rFonts w:ascii="Times New Roman" w:hAnsi="Times New Roman" w:cs="Times New Roman"/>
        </w:rPr>
      </w:pPr>
    </w:p>
    <w:p w14:paraId="3090C791" w14:textId="77777777" w:rsidR="000420BB" w:rsidRDefault="000420BB" w:rsidP="007B3AA6">
      <w:pPr>
        <w:jc w:val="both"/>
        <w:rPr>
          <w:rFonts w:ascii="Times New Roman" w:hAnsi="Times New Roman" w:cs="Times New Roman"/>
        </w:rPr>
      </w:pPr>
    </w:p>
    <w:p w14:paraId="53022F0F" w14:textId="77777777" w:rsidR="00A70D17" w:rsidRDefault="00A70D17" w:rsidP="007B3AA6">
      <w:pPr>
        <w:jc w:val="both"/>
        <w:rPr>
          <w:rFonts w:ascii="Times New Roman" w:hAnsi="Times New Roman" w:cs="Times New Roman"/>
        </w:rPr>
      </w:pPr>
    </w:p>
    <w:p w14:paraId="56A6CAE1" w14:textId="77777777" w:rsidR="007D4467" w:rsidRDefault="007D4467" w:rsidP="007B3AA6">
      <w:pPr>
        <w:jc w:val="both"/>
        <w:rPr>
          <w:rFonts w:ascii="Times New Roman" w:hAnsi="Times New Roman" w:cs="Times New Roman"/>
        </w:rPr>
      </w:pPr>
    </w:p>
    <w:p w14:paraId="1E2478AA" w14:textId="77777777" w:rsidR="0009756A" w:rsidRDefault="0009756A" w:rsidP="007B3AA6">
      <w:pPr>
        <w:jc w:val="both"/>
        <w:rPr>
          <w:rFonts w:ascii="Times New Roman" w:hAnsi="Times New Roman" w:cs="Times New Roman"/>
        </w:rPr>
      </w:pPr>
    </w:p>
    <w:tbl>
      <w:tblPr>
        <w:tblStyle w:val="TableGrid"/>
        <w:tblW w:w="10632" w:type="dxa"/>
        <w:tblInd w:w="-714" w:type="dxa"/>
        <w:tblLook w:val="04A0" w:firstRow="1" w:lastRow="0" w:firstColumn="1" w:lastColumn="0" w:noHBand="0" w:noVBand="1"/>
      </w:tblPr>
      <w:tblGrid>
        <w:gridCol w:w="2269"/>
        <w:gridCol w:w="4819"/>
        <w:gridCol w:w="3544"/>
      </w:tblGrid>
      <w:tr w:rsidR="00A70D17" w14:paraId="737236E2" w14:textId="77777777" w:rsidTr="0016277D">
        <w:tc>
          <w:tcPr>
            <w:tcW w:w="2269" w:type="dxa"/>
          </w:tcPr>
          <w:p w14:paraId="37DD4E96" w14:textId="2E5CD455" w:rsidR="00A70D17" w:rsidRPr="00A70D17" w:rsidRDefault="004E5626" w:rsidP="007B3AA6">
            <w:pPr>
              <w:jc w:val="both"/>
              <w:rPr>
                <w:rFonts w:ascii="Times New Roman" w:hAnsi="Times New Roman" w:cs="Times New Roman"/>
                <w:b/>
                <w:bCs/>
              </w:rPr>
            </w:pPr>
            <w:r>
              <w:rPr>
                <w:rFonts w:ascii="Times New Roman" w:hAnsi="Times New Roman" w:cs="Times New Roman"/>
                <w:b/>
                <w:bCs/>
              </w:rPr>
              <w:t>C</w:t>
            </w:r>
            <w:r w:rsidR="00A70D17">
              <w:rPr>
                <w:rFonts w:ascii="Times New Roman" w:hAnsi="Times New Roman" w:cs="Times New Roman"/>
                <w:b/>
                <w:bCs/>
              </w:rPr>
              <w:t>ategorie</w:t>
            </w:r>
          </w:p>
        </w:tc>
        <w:tc>
          <w:tcPr>
            <w:tcW w:w="4819" w:type="dxa"/>
          </w:tcPr>
          <w:p w14:paraId="401C99B3" w14:textId="7347AE30" w:rsidR="00A70D17" w:rsidRPr="00A70D17" w:rsidRDefault="004E5626" w:rsidP="007B3AA6">
            <w:pPr>
              <w:jc w:val="both"/>
              <w:rPr>
                <w:rFonts w:ascii="Times New Roman" w:hAnsi="Times New Roman" w:cs="Times New Roman"/>
                <w:b/>
                <w:bCs/>
              </w:rPr>
            </w:pPr>
            <w:r>
              <w:rPr>
                <w:rFonts w:ascii="Times New Roman" w:hAnsi="Times New Roman" w:cs="Times New Roman"/>
                <w:b/>
                <w:bCs/>
              </w:rPr>
              <w:t>E</w:t>
            </w:r>
            <w:r w:rsidR="00A70D17">
              <w:rPr>
                <w:rFonts w:ascii="Times New Roman" w:hAnsi="Times New Roman" w:cs="Times New Roman"/>
                <w:b/>
                <w:bCs/>
              </w:rPr>
              <w:t>xigence</w:t>
            </w:r>
          </w:p>
        </w:tc>
        <w:tc>
          <w:tcPr>
            <w:tcW w:w="3544" w:type="dxa"/>
          </w:tcPr>
          <w:p w14:paraId="24412D43" w14:textId="518C085B" w:rsidR="00A70D17" w:rsidRPr="004E5626" w:rsidRDefault="004E5626" w:rsidP="007B3AA6">
            <w:pPr>
              <w:jc w:val="both"/>
              <w:rPr>
                <w:rFonts w:ascii="Times New Roman" w:hAnsi="Times New Roman" w:cs="Times New Roman"/>
                <w:b/>
                <w:bCs/>
              </w:rPr>
            </w:pPr>
            <w:r w:rsidRPr="004E5626">
              <w:rPr>
                <w:rFonts w:ascii="Times New Roman" w:hAnsi="Times New Roman" w:cs="Times New Roman"/>
                <w:b/>
                <w:bCs/>
              </w:rPr>
              <w:t>Description</w:t>
            </w:r>
          </w:p>
        </w:tc>
      </w:tr>
      <w:tr w:rsidR="0065448E" w14:paraId="0DEB57DE" w14:textId="77777777" w:rsidTr="0016277D">
        <w:tc>
          <w:tcPr>
            <w:tcW w:w="2269" w:type="dxa"/>
          </w:tcPr>
          <w:p w14:paraId="4C4D3467" w14:textId="581B1C45" w:rsidR="0065448E" w:rsidRPr="004E5626" w:rsidRDefault="0065448E" w:rsidP="007B3AA6">
            <w:pPr>
              <w:jc w:val="both"/>
              <w:rPr>
                <w:rFonts w:ascii="Times New Roman" w:hAnsi="Times New Roman" w:cs="Times New Roman"/>
              </w:rPr>
            </w:pPr>
            <w:r w:rsidRPr="0065448E">
              <w:rPr>
                <w:rFonts w:ascii="Times New Roman" w:hAnsi="Times New Roman" w:cs="Times New Roman"/>
              </w:rPr>
              <w:t>Alimentation</w:t>
            </w:r>
          </w:p>
        </w:tc>
        <w:tc>
          <w:tcPr>
            <w:tcW w:w="4819" w:type="dxa"/>
          </w:tcPr>
          <w:p w14:paraId="48E0264A" w14:textId="4FAB29D8" w:rsidR="0065448E" w:rsidRPr="004E5626" w:rsidRDefault="0065448E" w:rsidP="007B3AA6">
            <w:pPr>
              <w:jc w:val="both"/>
              <w:rPr>
                <w:rFonts w:ascii="Times New Roman" w:hAnsi="Times New Roman" w:cs="Times New Roman"/>
              </w:rPr>
            </w:pPr>
            <w:r w:rsidRPr="0065448E">
              <w:rPr>
                <w:rFonts w:ascii="Times New Roman" w:hAnsi="Times New Roman" w:cs="Times New Roman"/>
              </w:rPr>
              <w:t>Le BSPD doit être alimenté directement par le LVMS sans passer par d'autres dispositifs.</w:t>
            </w:r>
          </w:p>
        </w:tc>
        <w:tc>
          <w:tcPr>
            <w:tcW w:w="3544" w:type="dxa"/>
          </w:tcPr>
          <w:p w14:paraId="5A29BAAD" w14:textId="5D63ABE6" w:rsidR="0065448E" w:rsidRPr="004E5626" w:rsidRDefault="0065448E" w:rsidP="007B3AA6">
            <w:pPr>
              <w:jc w:val="both"/>
              <w:rPr>
                <w:rFonts w:ascii="Times New Roman" w:hAnsi="Times New Roman" w:cs="Times New Roman"/>
              </w:rPr>
            </w:pPr>
            <w:r w:rsidRPr="0065448E">
              <w:rPr>
                <w:rFonts w:ascii="Times New Roman" w:hAnsi="Times New Roman" w:cs="Times New Roman"/>
              </w:rPr>
              <w:t xml:space="preserve">Alimentation </w:t>
            </w:r>
            <w:r>
              <w:rPr>
                <w:rFonts w:ascii="Times New Roman" w:hAnsi="Times New Roman" w:cs="Times New Roman"/>
              </w:rPr>
              <w:t>de 12 Volt</w:t>
            </w:r>
          </w:p>
        </w:tc>
      </w:tr>
      <w:tr w:rsidR="00A70D17" w14:paraId="3731F821" w14:textId="77777777" w:rsidTr="0016277D">
        <w:tc>
          <w:tcPr>
            <w:tcW w:w="2269" w:type="dxa"/>
          </w:tcPr>
          <w:p w14:paraId="7FB06A3E" w14:textId="362B2DF3" w:rsidR="00A70D17" w:rsidRDefault="004E5626" w:rsidP="007B3AA6">
            <w:pPr>
              <w:jc w:val="both"/>
              <w:rPr>
                <w:rFonts w:ascii="Times New Roman" w:hAnsi="Times New Roman" w:cs="Times New Roman"/>
              </w:rPr>
            </w:pPr>
            <w:r w:rsidRPr="004E5626">
              <w:rPr>
                <w:rFonts w:ascii="Times New Roman" w:hAnsi="Times New Roman" w:cs="Times New Roman"/>
              </w:rPr>
              <w:t>Autonomie</w:t>
            </w:r>
          </w:p>
        </w:tc>
        <w:tc>
          <w:tcPr>
            <w:tcW w:w="4819" w:type="dxa"/>
          </w:tcPr>
          <w:p w14:paraId="2DE8CD2D" w14:textId="11C4D1BE" w:rsidR="00A70D17" w:rsidRDefault="004E5626" w:rsidP="007B3AA6">
            <w:pPr>
              <w:jc w:val="both"/>
              <w:rPr>
                <w:rFonts w:ascii="Times New Roman" w:hAnsi="Times New Roman" w:cs="Times New Roman"/>
              </w:rPr>
            </w:pPr>
            <w:r w:rsidRPr="004E5626">
              <w:rPr>
                <w:rFonts w:ascii="Times New Roman" w:hAnsi="Times New Roman" w:cs="Times New Roman"/>
              </w:rPr>
              <w:t>Le BSPD doit être un circuit autonome et non programmable.</w:t>
            </w:r>
          </w:p>
        </w:tc>
        <w:tc>
          <w:tcPr>
            <w:tcW w:w="3544" w:type="dxa"/>
          </w:tcPr>
          <w:p w14:paraId="57140C8A" w14:textId="1AAFF68C" w:rsidR="00A70D17" w:rsidRDefault="004E5626" w:rsidP="007B3AA6">
            <w:pPr>
              <w:jc w:val="both"/>
              <w:rPr>
                <w:rFonts w:ascii="Times New Roman" w:hAnsi="Times New Roman" w:cs="Times New Roman"/>
              </w:rPr>
            </w:pPr>
            <w:r w:rsidRPr="004E5626">
              <w:rPr>
                <w:rFonts w:ascii="Times New Roman" w:hAnsi="Times New Roman" w:cs="Times New Roman"/>
              </w:rPr>
              <w:t>Aucun logiciel ou microcontrôleur intégré.</w:t>
            </w:r>
          </w:p>
        </w:tc>
      </w:tr>
      <w:tr w:rsidR="0016277D" w14:paraId="0D6AEA3F" w14:textId="77777777" w:rsidTr="0016277D">
        <w:trPr>
          <w:trHeight w:val="754"/>
        </w:trPr>
        <w:tc>
          <w:tcPr>
            <w:tcW w:w="2269" w:type="dxa"/>
            <w:vMerge w:val="restart"/>
          </w:tcPr>
          <w:p w14:paraId="1308D658" w14:textId="7AA661AE" w:rsidR="0016277D" w:rsidRDefault="0016277D" w:rsidP="0016277D">
            <w:pPr>
              <w:rPr>
                <w:rFonts w:ascii="Times New Roman" w:hAnsi="Times New Roman" w:cs="Times New Roman"/>
              </w:rPr>
            </w:pPr>
            <w:r w:rsidRPr="0016277D">
              <w:rPr>
                <w:rFonts w:ascii="Times New Roman" w:hAnsi="Times New Roman" w:cs="Times New Roman"/>
              </w:rPr>
              <w:t>Conditions de</w:t>
            </w:r>
            <w:r>
              <w:rPr>
                <w:rFonts w:ascii="Times New Roman" w:hAnsi="Times New Roman" w:cs="Times New Roman"/>
              </w:rPr>
              <w:t xml:space="preserve"> </w:t>
            </w:r>
            <w:r w:rsidRPr="0016277D">
              <w:rPr>
                <w:rFonts w:ascii="Times New Roman" w:hAnsi="Times New Roman" w:cs="Times New Roman"/>
              </w:rPr>
              <w:t>déclenchement</w:t>
            </w:r>
          </w:p>
        </w:tc>
        <w:tc>
          <w:tcPr>
            <w:tcW w:w="4819" w:type="dxa"/>
          </w:tcPr>
          <w:p w14:paraId="600EF2DE" w14:textId="77777777" w:rsidR="0016277D" w:rsidRDefault="0016277D" w:rsidP="007B3AA6">
            <w:pPr>
              <w:jc w:val="both"/>
              <w:rPr>
                <w:rFonts w:ascii="Times New Roman" w:hAnsi="Times New Roman" w:cs="Times New Roman"/>
              </w:rPr>
            </w:pPr>
            <w:r w:rsidRPr="0016277D">
              <w:rPr>
                <w:rFonts w:ascii="Times New Roman" w:hAnsi="Times New Roman" w:cs="Times New Roman"/>
              </w:rPr>
              <w:t>Le BSPD doit ouvrir le SDC lorsque les deux conditions suivantes sont remplies :</w:t>
            </w:r>
          </w:p>
          <w:p w14:paraId="265519AD" w14:textId="77777777" w:rsidR="0016277D" w:rsidRDefault="0016277D" w:rsidP="007B3AA6">
            <w:pPr>
              <w:jc w:val="both"/>
              <w:rPr>
                <w:rFonts w:ascii="Times New Roman" w:hAnsi="Times New Roman" w:cs="Times New Roman"/>
              </w:rPr>
            </w:pPr>
          </w:p>
          <w:p w14:paraId="5513A4F7" w14:textId="163B3EE8" w:rsidR="0016277D" w:rsidRPr="0016277D" w:rsidRDefault="0016277D" w:rsidP="0016277D">
            <w:pPr>
              <w:pStyle w:val="ListParagraph"/>
              <w:numPr>
                <w:ilvl w:val="0"/>
                <w:numId w:val="5"/>
              </w:numPr>
              <w:jc w:val="both"/>
              <w:rPr>
                <w:rFonts w:ascii="Times New Roman" w:hAnsi="Times New Roman" w:cs="Times New Roman"/>
              </w:rPr>
            </w:pPr>
            <w:r w:rsidRPr="0016277D">
              <w:rPr>
                <w:rFonts w:ascii="Times New Roman" w:hAnsi="Times New Roman" w:cs="Times New Roman"/>
              </w:rPr>
              <w:t>Une puissance ≥5 kW est délivrée aux moteurs.</w:t>
            </w:r>
          </w:p>
        </w:tc>
        <w:tc>
          <w:tcPr>
            <w:tcW w:w="3544" w:type="dxa"/>
          </w:tcPr>
          <w:p w14:paraId="694EC257" w14:textId="77777777" w:rsidR="0009756A" w:rsidRDefault="0009756A" w:rsidP="007B3AA6">
            <w:pPr>
              <w:jc w:val="both"/>
              <w:rPr>
                <w:rFonts w:ascii="Times New Roman" w:hAnsi="Times New Roman" w:cs="Times New Roman"/>
              </w:rPr>
            </w:pPr>
          </w:p>
          <w:p w14:paraId="7126C28B" w14:textId="2C80EE9D" w:rsidR="0016277D" w:rsidRDefault="0016277D" w:rsidP="007B3AA6">
            <w:pPr>
              <w:jc w:val="both"/>
              <w:rPr>
                <w:rFonts w:ascii="Times New Roman" w:hAnsi="Times New Roman" w:cs="Times New Roman"/>
              </w:rPr>
            </w:pPr>
            <w:r w:rsidRPr="0016277D">
              <w:rPr>
                <w:rFonts w:ascii="Times New Roman" w:hAnsi="Times New Roman" w:cs="Times New Roman"/>
              </w:rPr>
              <w:t>Détecté par un capteur de courant.</w:t>
            </w:r>
          </w:p>
          <w:p w14:paraId="0FE3BBBA" w14:textId="77777777" w:rsidR="0016277D" w:rsidRDefault="0016277D" w:rsidP="007B3AA6">
            <w:pPr>
              <w:jc w:val="both"/>
              <w:rPr>
                <w:rFonts w:ascii="Times New Roman" w:hAnsi="Times New Roman" w:cs="Times New Roman"/>
              </w:rPr>
            </w:pPr>
          </w:p>
          <w:p w14:paraId="613969C5" w14:textId="0D14CD51" w:rsidR="0016277D" w:rsidRDefault="0016277D" w:rsidP="007B3AA6">
            <w:pPr>
              <w:jc w:val="both"/>
              <w:rPr>
                <w:rFonts w:ascii="Times New Roman" w:hAnsi="Times New Roman" w:cs="Times New Roman"/>
              </w:rPr>
            </w:pPr>
            <w:r>
              <w:rPr>
                <w:rFonts w:ascii="Times New Roman" w:hAnsi="Times New Roman" w:cs="Times New Roman"/>
              </w:rPr>
              <w:t>Valeur : 700 Ampère</w:t>
            </w:r>
            <w:r w:rsidR="0065448E">
              <w:rPr>
                <w:rFonts w:ascii="Times New Roman" w:hAnsi="Times New Roman" w:cs="Times New Roman"/>
              </w:rPr>
              <w:t>.</w:t>
            </w:r>
          </w:p>
          <w:p w14:paraId="6DAC7E01" w14:textId="5E57D475" w:rsidR="0016277D" w:rsidRDefault="0016277D" w:rsidP="007B3AA6">
            <w:pPr>
              <w:jc w:val="both"/>
              <w:rPr>
                <w:rFonts w:ascii="Times New Roman" w:hAnsi="Times New Roman" w:cs="Times New Roman"/>
              </w:rPr>
            </w:pPr>
            <w:r>
              <w:rPr>
                <w:rFonts w:ascii="Times New Roman" w:hAnsi="Times New Roman" w:cs="Times New Roman"/>
              </w:rPr>
              <w:t>Precision : + ou – 10A</w:t>
            </w:r>
          </w:p>
        </w:tc>
      </w:tr>
      <w:tr w:rsidR="0016277D" w14:paraId="5DAE3F99" w14:textId="77777777" w:rsidTr="0016277D">
        <w:trPr>
          <w:trHeight w:val="753"/>
        </w:trPr>
        <w:tc>
          <w:tcPr>
            <w:tcW w:w="2269" w:type="dxa"/>
            <w:vMerge/>
          </w:tcPr>
          <w:p w14:paraId="60A91E60" w14:textId="77777777" w:rsidR="0016277D" w:rsidRPr="0016277D" w:rsidRDefault="0016277D" w:rsidP="0016277D">
            <w:pPr>
              <w:rPr>
                <w:rFonts w:ascii="Times New Roman" w:hAnsi="Times New Roman" w:cs="Times New Roman"/>
              </w:rPr>
            </w:pPr>
          </w:p>
        </w:tc>
        <w:tc>
          <w:tcPr>
            <w:tcW w:w="4819" w:type="dxa"/>
          </w:tcPr>
          <w:p w14:paraId="79E9177E" w14:textId="77777777" w:rsidR="0016277D" w:rsidRDefault="0016277D" w:rsidP="0016277D">
            <w:pPr>
              <w:pStyle w:val="ListParagraph"/>
              <w:numPr>
                <w:ilvl w:val="0"/>
                <w:numId w:val="5"/>
              </w:numPr>
              <w:jc w:val="both"/>
              <w:rPr>
                <w:rFonts w:ascii="Times New Roman" w:hAnsi="Times New Roman" w:cs="Times New Roman"/>
              </w:rPr>
            </w:pPr>
            <w:r w:rsidRPr="0016277D">
              <w:rPr>
                <w:rFonts w:ascii="Times New Roman" w:hAnsi="Times New Roman" w:cs="Times New Roman"/>
              </w:rPr>
              <w:t>Un freinage brusque est détecté (pression ≤30 bars).</w:t>
            </w:r>
          </w:p>
          <w:p w14:paraId="52FF373E" w14:textId="77777777" w:rsidR="0016277D" w:rsidRPr="0016277D" w:rsidRDefault="0016277D" w:rsidP="007B3AA6">
            <w:pPr>
              <w:jc w:val="both"/>
              <w:rPr>
                <w:rFonts w:ascii="Times New Roman" w:hAnsi="Times New Roman" w:cs="Times New Roman"/>
              </w:rPr>
            </w:pPr>
          </w:p>
        </w:tc>
        <w:tc>
          <w:tcPr>
            <w:tcW w:w="3544" w:type="dxa"/>
          </w:tcPr>
          <w:p w14:paraId="63214CB5" w14:textId="77777777" w:rsidR="0009756A" w:rsidRDefault="0009756A" w:rsidP="0016277D">
            <w:pPr>
              <w:jc w:val="both"/>
              <w:rPr>
                <w:rFonts w:ascii="Times New Roman" w:hAnsi="Times New Roman" w:cs="Times New Roman"/>
              </w:rPr>
            </w:pPr>
          </w:p>
          <w:p w14:paraId="0351C0C9" w14:textId="0D82847C" w:rsidR="0016277D" w:rsidRDefault="0016277D" w:rsidP="0016277D">
            <w:pPr>
              <w:jc w:val="both"/>
              <w:rPr>
                <w:rFonts w:ascii="Times New Roman" w:hAnsi="Times New Roman" w:cs="Times New Roman"/>
              </w:rPr>
            </w:pPr>
            <w:r w:rsidRPr="0016277D">
              <w:rPr>
                <w:rFonts w:ascii="Times New Roman" w:hAnsi="Times New Roman" w:cs="Times New Roman"/>
              </w:rPr>
              <w:t xml:space="preserve">Détecté par un capteur de </w:t>
            </w:r>
            <w:r>
              <w:rPr>
                <w:rFonts w:ascii="Times New Roman" w:hAnsi="Times New Roman" w:cs="Times New Roman"/>
              </w:rPr>
              <w:t>pression</w:t>
            </w:r>
            <w:r w:rsidRPr="0016277D">
              <w:rPr>
                <w:rFonts w:ascii="Times New Roman" w:hAnsi="Times New Roman" w:cs="Times New Roman"/>
              </w:rPr>
              <w:t>.</w:t>
            </w:r>
          </w:p>
          <w:p w14:paraId="725D9EA2" w14:textId="77777777" w:rsidR="0016277D" w:rsidRDefault="0016277D" w:rsidP="0016277D">
            <w:pPr>
              <w:jc w:val="both"/>
              <w:rPr>
                <w:rFonts w:ascii="Times New Roman" w:hAnsi="Times New Roman" w:cs="Times New Roman"/>
              </w:rPr>
            </w:pPr>
          </w:p>
          <w:p w14:paraId="23F734B8" w14:textId="07034E23" w:rsidR="0016277D" w:rsidRDefault="0065448E" w:rsidP="0016277D">
            <w:pPr>
              <w:jc w:val="both"/>
              <w:rPr>
                <w:rFonts w:ascii="Times New Roman" w:hAnsi="Times New Roman" w:cs="Times New Roman"/>
              </w:rPr>
            </w:pPr>
            <w:r w:rsidRPr="0065448E">
              <w:rPr>
                <w:rFonts w:ascii="Times New Roman" w:hAnsi="Times New Roman" w:cs="Times New Roman"/>
              </w:rPr>
              <w:t xml:space="preserve">Sensibilité réglée à ≤30 bars. </w:t>
            </w:r>
            <w:r w:rsidR="0016277D">
              <w:rPr>
                <w:rFonts w:ascii="Times New Roman" w:hAnsi="Times New Roman" w:cs="Times New Roman"/>
              </w:rPr>
              <w:t>Precision : + ou – 1bar</w:t>
            </w:r>
          </w:p>
        </w:tc>
      </w:tr>
      <w:tr w:rsidR="00A70D17" w14:paraId="3EF3B3A3" w14:textId="77777777" w:rsidTr="0016277D">
        <w:tc>
          <w:tcPr>
            <w:tcW w:w="2269" w:type="dxa"/>
          </w:tcPr>
          <w:p w14:paraId="59A92C5B" w14:textId="484A894A" w:rsidR="00A70D17" w:rsidRDefault="00994609" w:rsidP="007B3AA6">
            <w:pPr>
              <w:jc w:val="both"/>
              <w:rPr>
                <w:rFonts w:ascii="Times New Roman" w:hAnsi="Times New Roman" w:cs="Times New Roman"/>
              </w:rPr>
            </w:pPr>
            <w:r w:rsidRPr="00994609">
              <w:rPr>
                <w:rFonts w:ascii="Times New Roman" w:hAnsi="Times New Roman" w:cs="Times New Roman"/>
              </w:rPr>
              <w:t>Détection d'implausibilité</w:t>
            </w:r>
          </w:p>
        </w:tc>
        <w:tc>
          <w:tcPr>
            <w:tcW w:w="4819" w:type="dxa"/>
          </w:tcPr>
          <w:p w14:paraId="4A17851C" w14:textId="47AF9686" w:rsidR="00A70D17" w:rsidRDefault="00000724" w:rsidP="007B3AA6">
            <w:pPr>
              <w:jc w:val="both"/>
              <w:rPr>
                <w:rFonts w:ascii="Times New Roman" w:hAnsi="Times New Roman" w:cs="Times New Roman"/>
              </w:rPr>
            </w:pPr>
            <w:r w:rsidRPr="000420BB">
              <w:rPr>
                <w:rFonts w:ascii="Times New Roman" w:hAnsi="Times New Roman" w:cs="Times New Roman"/>
                <w:color w:val="E97132" w:themeColor="accent2"/>
              </w:rPr>
              <w:t>Une implausibilité persistante pendant plus de </w:t>
            </w:r>
            <w:r w:rsidRPr="000420BB">
              <w:rPr>
                <w:rFonts w:ascii="Times New Roman" w:hAnsi="Times New Roman" w:cs="Times New Roman"/>
                <w:b/>
                <w:bCs/>
                <w:color w:val="E97132" w:themeColor="accent2"/>
              </w:rPr>
              <w:t>500 ms</w:t>
            </w:r>
            <w:r w:rsidRPr="000420BB">
              <w:rPr>
                <w:rFonts w:ascii="Times New Roman" w:hAnsi="Times New Roman" w:cs="Times New Roman"/>
                <w:color w:val="E97132" w:themeColor="accent2"/>
              </w:rPr>
              <w:t> déclenche l’ouverture du </w:t>
            </w:r>
            <w:r w:rsidRPr="000420BB">
              <w:rPr>
                <w:rFonts w:ascii="Times New Roman" w:hAnsi="Times New Roman" w:cs="Times New Roman"/>
                <w:b/>
                <w:bCs/>
                <w:color w:val="E97132" w:themeColor="accent2"/>
              </w:rPr>
              <w:t>SDC</w:t>
            </w:r>
            <w:r w:rsidRPr="00000724">
              <w:rPr>
                <w:rFonts w:ascii="Times New Roman" w:hAnsi="Times New Roman" w:cs="Times New Roman"/>
              </w:rPr>
              <w:t>.</w:t>
            </w:r>
          </w:p>
        </w:tc>
        <w:tc>
          <w:tcPr>
            <w:tcW w:w="3544" w:type="dxa"/>
          </w:tcPr>
          <w:p w14:paraId="035A6C27" w14:textId="0EEA2487" w:rsidR="00A70D17" w:rsidRDefault="00994609" w:rsidP="007B3AA6">
            <w:pPr>
              <w:jc w:val="both"/>
              <w:rPr>
                <w:rFonts w:ascii="Times New Roman" w:hAnsi="Times New Roman" w:cs="Times New Roman"/>
              </w:rPr>
            </w:pPr>
            <w:r>
              <w:rPr>
                <w:rFonts w:ascii="Times New Roman" w:hAnsi="Times New Roman" w:cs="Times New Roman"/>
              </w:rPr>
              <w:t>Un délai analogique doit etre integrer dans le circuit.</w:t>
            </w:r>
          </w:p>
        </w:tc>
      </w:tr>
      <w:tr w:rsidR="00994609" w14:paraId="700D0FE1" w14:textId="77777777" w:rsidTr="00994609">
        <w:trPr>
          <w:trHeight w:val="189"/>
        </w:trPr>
        <w:tc>
          <w:tcPr>
            <w:tcW w:w="2269" w:type="dxa"/>
            <w:vMerge w:val="restart"/>
          </w:tcPr>
          <w:p w14:paraId="263F5925" w14:textId="58A9567C" w:rsidR="00994609" w:rsidRDefault="00000724" w:rsidP="007B3AA6">
            <w:pPr>
              <w:jc w:val="both"/>
              <w:rPr>
                <w:rFonts w:ascii="Times New Roman" w:hAnsi="Times New Roman" w:cs="Times New Roman"/>
              </w:rPr>
            </w:pPr>
            <w:r>
              <w:rPr>
                <w:rFonts w:ascii="Times New Roman" w:hAnsi="Times New Roman" w:cs="Times New Roman"/>
              </w:rPr>
              <w:t xml:space="preserve">Conditions de </w:t>
            </w:r>
            <w:r w:rsidRPr="000420BB">
              <w:rPr>
                <w:rFonts w:ascii="Times New Roman" w:hAnsi="Times New Roman" w:cs="Times New Roman"/>
                <w:lang w:val="fr-FR"/>
              </w:rPr>
              <w:t>reintialisation</w:t>
            </w:r>
          </w:p>
        </w:tc>
        <w:tc>
          <w:tcPr>
            <w:tcW w:w="4819" w:type="dxa"/>
          </w:tcPr>
          <w:p w14:paraId="261E7736" w14:textId="77777777" w:rsidR="0009756A" w:rsidRDefault="0009756A" w:rsidP="0009756A">
            <w:pPr>
              <w:jc w:val="both"/>
              <w:rPr>
                <w:rFonts w:ascii="Times New Roman" w:hAnsi="Times New Roman" w:cs="Times New Roman"/>
              </w:rPr>
            </w:pPr>
          </w:p>
          <w:p w14:paraId="5D79127E" w14:textId="72AC961B" w:rsidR="00994609" w:rsidRPr="0009756A" w:rsidRDefault="0009756A" w:rsidP="007B3AA6">
            <w:pPr>
              <w:pStyle w:val="ListParagraph"/>
              <w:numPr>
                <w:ilvl w:val="0"/>
                <w:numId w:val="5"/>
              </w:numPr>
              <w:jc w:val="both"/>
              <w:rPr>
                <w:rFonts w:ascii="Times New Roman" w:hAnsi="Times New Roman" w:cs="Times New Roman"/>
              </w:rPr>
            </w:pPr>
            <w:r w:rsidRPr="0009756A">
              <w:rPr>
                <w:rFonts w:ascii="Times New Roman" w:hAnsi="Times New Roman" w:cs="Times New Roman"/>
              </w:rPr>
              <w:t>Un redémarrage manuel du LVMS (coupure et rétablissement d'alimentation).</w:t>
            </w:r>
          </w:p>
          <w:p w14:paraId="674BAD9E" w14:textId="5982B849" w:rsidR="00994609" w:rsidRDefault="00994609" w:rsidP="007B3AA6">
            <w:pPr>
              <w:jc w:val="both"/>
              <w:rPr>
                <w:rFonts w:ascii="Times New Roman" w:hAnsi="Times New Roman" w:cs="Times New Roman"/>
              </w:rPr>
            </w:pPr>
          </w:p>
        </w:tc>
        <w:tc>
          <w:tcPr>
            <w:tcW w:w="3544" w:type="dxa"/>
          </w:tcPr>
          <w:p w14:paraId="0CF565FE" w14:textId="77777777" w:rsidR="0009756A" w:rsidRDefault="0009756A" w:rsidP="007B3AA6">
            <w:pPr>
              <w:jc w:val="both"/>
              <w:rPr>
                <w:rFonts w:ascii="Times New Roman" w:hAnsi="Times New Roman" w:cs="Times New Roman"/>
              </w:rPr>
            </w:pPr>
          </w:p>
          <w:p w14:paraId="3898DD9F" w14:textId="77777777" w:rsidR="0009756A" w:rsidRDefault="0009756A" w:rsidP="007B3AA6">
            <w:pPr>
              <w:jc w:val="both"/>
              <w:rPr>
                <w:rFonts w:ascii="Times New Roman" w:hAnsi="Times New Roman" w:cs="Times New Roman"/>
              </w:rPr>
            </w:pPr>
          </w:p>
          <w:p w14:paraId="6FD89958" w14:textId="77777777" w:rsidR="0009756A" w:rsidRDefault="0009756A" w:rsidP="007B3AA6">
            <w:pPr>
              <w:jc w:val="both"/>
              <w:rPr>
                <w:rFonts w:ascii="Times New Roman" w:hAnsi="Times New Roman" w:cs="Times New Roman"/>
              </w:rPr>
            </w:pPr>
          </w:p>
          <w:p w14:paraId="5D5063AF" w14:textId="0434922E" w:rsidR="00994609" w:rsidRDefault="0009756A" w:rsidP="007B3AA6">
            <w:pPr>
              <w:jc w:val="both"/>
              <w:rPr>
                <w:rFonts w:ascii="Times New Roman" w:hAnsi="Times New Roman" w:cs="Times New Roman"/>
              </w:rPr>
            </w:pPr>
            <w:r w:rsidRPr="0009756A">
              <w:rPr>
                <w:rFonts w:ascii="Times New Roman" w:hAnsi="Times New Roman" w:cs="Times New Roman"/>
              </w:rPr>
              <w:t>Contrôle par l'opérateur.</w:t>
            </w:r>
          </w:p>
        </w:tc>
      </w:tr>
      <w:tr w:rsidR="00994609" w14:paraId="49EEDD72" w14:textId="77777777" w:rsidTr="0016277D">
        <w:trPr>
          <w:trHeight w:val="188"/>
        </w:trPr>
        <w:tc>
          <w:tcPr>
            <w:tcW w:w="2269" w:type="dxa"/>
            <w:vMerge/>
          </w:tcPr>
          <w:p w14:paraId="7587FC7E" w14:textId="77777777" w:rsidR="00994609" w:rsidRPr="00994609" w:rsidRDefault="00994609" w:rsidP="007B3AA6">
            <w:pPr>
              <w:jc w:val="both"/>
              <w:rPr>
                <w:rFonts w:ascii="Times New Roman" w:hAnsi="Times New Roman" w:cs="Times New Roman"/>
              </w:rPr>
            </w:pPr>
          </w:p>
        </w:tc>
        <w:tc>
          <w:tcPr>
            <w:tcW w:w="4819" w:type="dxa"/>
          </w:tcPr>
          <w:p w14:paraId="7CEE76BD" w14:textId="22EE55EA" w:rsidR="00994609" w:rsidRPr="0009756A" w:rsidRDefault="0009756A" w:rsidP="0009756A">
            <w:pPr>
              <w:pStyle w:val="ListParagraph"/>
              <w:numPr>
                <w:ilvl w:val="0"/>
                <w:numId w:val="5"/>
              </w:numPr>
              <w:jc w:val="both"/>
              <w:rPr>
                <w:rFonts w:ascii="Times New Roman" w:hAnsi="Times New Roman" w:cs="Times New Roman"/>
              </w:rPr>
            </w:pPr>
            <w:r w:rsidRPr="000420BB">
              <w:rPr>
                <w:rFonts w:ascii="Times New Roman" w:hAnsi="Times New Roman" w:cs="Times New Roman"/>
                <w:color w:val="E97132" w:themeColor="accent2"/>
              </w:rPr>
              <w:t>Une réinitialisation automatique si les conditions d'ouverture ne sont plus présentes pendant au moins 10 secondes</w:t>
            </w:r>
            <w:r w:rsidRPr="0009756A">
              <w:rPr>
                <w:rFonts w:ascii="Times New Roman" w:hAnsi="Times New Roman" w:cs="Times New Roman"/>
              </w:rPr>
              <w:t>.</w:t>
            </w:r>
          </w:p>
        </w:tc>
        <w:tc>
          <w:tcPr>
            <w:tcW w:w="3544" w:type="dxa"/>
          </w:tcPr>
          <w:p w14:paraId="34048577" w14:textId="77777777" w:rsidR="00994609" w:rsidRDefault="00994609" w:rsidP="007B3AA6">
            <w:pPr>
              <w:jc w:val="both"/>
              <w:rPr>
                <w:rFonts w:ascii="Times New Roman" w:hAnsi="Times New Roman" w:cs="Times New Roman"/>
              </w:rPr>
            </w:pPr>
          </w:p>
          <w:p w14:paraId="05FF5879" w14:textId="6B5619C1" w:rsidR="0009756A" w:rsidRDefault="00000724" w:rsidP="007B3AA6">
            <w:pPr>
              <w:jc w:val="both"/>
              <w:rPr>
                <w:rFonts w:ascii="Times New Roman" w:hAnsi="Times New Roman" w:cs="Times New Roman"/>
              </w:rPr>
            </w:pPr>
            <w:r>
              <w:rPr>
                <w:rFonts w:ascii="Times New Roman" w:hAnsi="Times New Roman" w:cs="Times New Roman"/>
              </w:rPr>
              <w:t>Un délai analogique doit etre integrer dans le circuit</w:t>
            </w:r>
            <w:r w:rsidR="0009756A" w:rsidRPr="0009756A">
              <w:rPr>
                <w:rFonts w:ascii="Times New Roman" w:hAnsi="Times New Roman" w:cs="Times New Roman"/>
              </w:rPr>
              <w:t>.</w:t>
            </w:r>
          </w:p>
          <w:p w14:paraId="634E325C" w14:textId="77777777" w:rsidR="0009756A" w:rsidRDefault="0009756A" w:rsidP="007B3AA6">
            <w:pPr>
              <w:jc w:val="both"/>
              <w:rPr>
                <w:rFonts w:ascii="Times New Roman" w:hAnsi="Times New Roman" w:cs="Times New Roman"/>
              </w:rPr>
            </w:pPr>
          </w:p>
        </w:tc>
      </w:tr>
    </w:tbl>
    <w:p w14:paraId="75DCE97B" w14:textId="77777777" w:rsidR="00C160F4" w:rsidRDefault="00C160F4" w:rsidP="007B3AA6">
      <w:pPr>
        <w:jc w:val="both"/>
        <w:rPr>
          <w:rFonts w:ascii="Times New Roman" w:hAnsi="Times New Roman" w:cs="Times New Roman"/>
        </w:rPr>
      </w:pPr>
    </w:p>
    <w:p w14:paraId="1738164E" w14:textId="77777777" w:rsidR="00C160F4" w:rsidRPr="007B3AA6" w:rsidRDefault="00C160F4" w:rsidP="007B3AA6">
      <w:pPr>
        <w:jc w:val="both"/>
        <w:rPr>
          <w:rFonts w:ascii="Times New Roman" w:hAnsi="Times New Roman" w:cs="Times New Roman"/>
        </w:rPr>
      </w:pPr>
    </w:p>
    <w:sectPr w:rsidR="00C160F4" w:rsidRPr="007B3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B5D42"/>
    <w:multiLevelType w:val="hybridMultilevel"/>
    <w:tmpl w:val="5690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84FB1"/>
    <w:multiLevelType w:val="hybridMultilevel"/>
    <w:tmpl w:val="E39A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F4302"/>
    <w:multiLevelType w:val="multilevel"/>
    <w:tmpl w:val="EB84E4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39138E"/>
    <w:multiLevelType w:val="hybridMultilevel"/>
    <w:tmpl w:val="C840D27A"/>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6F8353C4"/>
    <w:multiLevelType w:val="multilevel"/>
    <w:tmpl w:val="A95240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778052">
    <w:abstractNumId w:val="3"/>
  </w:num>
  <w:num w:numId="2" w16cid:durableId="1118185670">
    <w:abstractNumId w:val="2"/>
  </w:num>
  <w:num w:numId="3" w16cid:durableId="882907639">
    <w:abstractNumId w:val="4"/>
  </w:num>
  <w:num w:numId="4" w16cid:durableId="2066441229">
    <w:abstractNumId w:val="1"/>
  </w:num>
  <w:num w:numId="5" w16cid:durableId="13784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9C"/>
    <w:rsid w:val="00000724"/>
    <w:rsid w:val="00025E34"/>
    <w:rsid w:val="000420BB"/>
    <w:rsid w:val="0009756A"/>
    <w:rsid w:val="001448A0"/>
    <w:rsid w:val="0016277D"/>
    <w:rsid w:val="003429FD"/>
    <w:rsid w:val="003777FF"/>
    <w:rsid w:val="004E5626"/>
    <w:rsid w:val="00566DEA"/>
    <w:rsid w:val="00574D9C"/>
    <w:rsid w:val="005A11C3"/>
    <w:rsid w:val="006063E3"/>
    <w:rsid w:val="0065448E"/>
    <w:rsid w:val="007B3AA6"/>
    <w:rsid w:val="007D4467"/>
    <w:rsid w:val="008E202F"/>
    <w:rsid w:val="0094354B"/>
    <w:rsid w:val="00994609"/>
    <w:rsid w:val="009D754B"/>
    <w:rsid w:val="00A70D17"/>
    <w:rsid w:val="00AE32E7"/>
    <w:rsid w:val="00B25B18"/>
    <w:rsid w:val="00C160F4"/>
    <w:rsid w:val="00CB78C7"/>
    <w:rsid w:val="00CF1D5F"/>
    <w:rsid w:val="00D03EA1"/>
    <w:rsid w:val="00E22309"/>
    <w:rsid w:val="00F0256A"/>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62328945"/>
  <w15:chartTrackingRefBased/>
  <w15:docId w15:val="{E9B025F3-EADF-F54D-8AF0-15753E4C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D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D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D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D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D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D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D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D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D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D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D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D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D9C"/>
    <w:rPr>
      <w:rFonts w:eastAsiaTheme="majorEastAsia" w:cstheme="majorBidi"/>
      <w:color w:val="272727" w:themeColor="text1" w:themeTint="D8"/>
    </w:rPr>
  </w:style>
  <w:style w:type="paragraph" w:styleId="Title">
    <w:name w:val="Title"/>
    <w:basedOn w:val="Normal"/>
    <w:next w:val="Normal"/>
    <w:link w:val="TitleChar"/>
    <w:uiPriority w:val="10"/>
    <w:qFormat/>
    <w:rsid w:val="00574D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D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D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4D9C"/>
    <w:rPr>
      <w:i/>
      <w:iCs/>
      <w:color w:val="404040" w:themeColor="text1" w:themeTint="BF"/>
    </w:rPr>
  </w:style>
  <w:style w:type="paragraph" w:styleId="ListParagraph">
    <w:name w:val="List Paragraph"/>
    <w:basedOn w:val="Normal"/>
    <w:uiPriority w:val="34"/>
    <w:qFormat/>
    <w:rsid w:val="00574D9C"/>
    <w:pPr>
      <w:ind w:left="720"/>
      <w:contextualSpacing/>
    </w:pPr>
  </w:style>
  <w:style w:type="character" w:styleId="IntenseEmphasis">
    <w:name w:val="Intense Emphasis"/>
    <w:basedOn w:val="DefaultParagraphFont"/>
    <w:uiPriority w:val="21"/>
    <w:qFormat/>
    <w:rsid w:val="00574D9C"/>
    <w:rPr>
      <w:i/>
      <w:iCs/>
      <w:color w:val="0F4761" w:themeColor="accent1" w:themeShade="BF"/>
    </w:rPr>
  </w:style>
  <w:style w:type="paragraph" w:styleId="IntenseQuote">
    <w:name w:val="Intense Quote"/>
    <w:basedOn w:val="Normal"/>
    <w:next w:val="Normal"/>
    <w:link w:val="IntenseQuoteChar"/>
    <w:uiPriority w:val="30"/>
    <w:qFormat/>
    <w:rsid w:val="00574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D9C"/>
    <w:rPr>
      <w:i/>
      <w:iCs/>
      <w:color w:val="0F4761" w:themeColor="accent1" w:themeShade="BF"/>
    </w:rPr>
  </w:style>
  <w:style w:type="character" w:styleId="IntenseReference">
    <w:name w:val="Intense Reference"/>
    <w:basedOn w:val="DefaultParagraphFont"/>
    <w:uiPriority w:val="32"/>
    <w:qFormat/>
    <w:rsid w:val="00574D9C"/>
    <w:rPr>
      <w:b/>
      <w:bCs/>
      <w:smallCaps/>
      <w:color w:val="0F4761" w:themeColor="accent1" w:themeShade="BF"/>
      <w:spacing w:val="5"/>
    </w:rPr>
  </w:style>
  <w:style w:type="table" w:styleId="TableGrid">
    <w:name w:val="Table Grid"/>
    <w:basedOn w:val="TableNormal"/>
    <w:uiPriority w:val="39"/>
    <w:rsid w:val="00A7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32766">
      <w:bodyDiv w:val="1"/>
      <w:marLeft w:val="0"/>
      <w:marRight w:val="0"/>
      <w:marTop w:val="0"/>
      <w:marBottom w:val="0"/>
      <w:divBdr>
        <w:top w:val="none" w:sz="0" w:space="0" w:color="auto"/>
        <w:left w:val="none" w:sz="0" w:space="0" w:color="auto"/>
        <w:bottom w:val="none" w:sz="0" w:space="0" w:color="auto"/>
        <w:right w:val="none" w:sz="0" w:space="0" w:color="auto"/>
      </w:divBdr>
    </w:div>
    <w:div w:id="584076792">
      <w:bodyDiv w:val="1"/>
      <w:marLeft w:val="0"/>
      <w:marRight w:val="0"/>
      <w:marTop w:val="0"/>
      <w:marBottom w:val="0"/>
      <w:divBdr>
        <w:top w:val="none" w:sz="0" w:space="0" w:color="auto"/>
        <w:left w:val="none" w:sz="0" w:space="0" w:color="auto"/>
        <w:bottom w:val="none" w:sz="0" w:space="0" w:color="auto"/>
        <w:right w:val="none" w:sz="0" w:space="0" w:color="auto"/>
      </w:divBdr>
    </w:div>
    <w:div w:id="1197694121">
      <w:bodyDiv w:val="1"/>
      <w:marLeft w:val="0"/>
      <w:marRight w:val="0"/>
      <w:marTop w:val="0"/>
      <w:marBottom w:val="0"/>
      <w:divBdr>
        <w:top w:val="none" w:sz="0" w:space="0" w:color="auto"/>
        <w:left w:val="none" w:sz="0" w:space="0" w:color="auto"/>
        <w:bottom w:val="none" w:sz="0" w:space="0" w:color="auto"/>
        <w:right w:val="none" w:sz="0" w:space="0" w:color="auto"/>
      </w:divBdr>
    </w:div>
    <w:div w:id="1489441220">
      <w:bodyDiv w:val="1"/>
      <w:marLeft w:val="0"/>
      <w:marRight w:val="0"/>
      <w:marTop w:val="0"/>
      <w:marBottom w:val="0"/>
      <w:divBdr>
        <w:top w:val="none" w:sz="0" w:space="0" w:color="auto"/>
        <w:left w:val="none" w:sz="0" w:space="0" w:color="auto"/>
        <w:bottom w:val="none" w:sz="0" w:space="0" w:color="auto"/>
        <w:right w:val="none" w:sz="0" w:space="0" w:color="auto"/>
      </w:divBdr>
    </w:div>
    <w:div w:id="1998998190">
      <w:bodyDiv w:val="1"/>
      <w:marLeft w:val="0"/>
      <w:marRight w:val="0"/>
      <w:marTop w:val="0"/>
      <w:marBottom w:val="0"/>
      <w:divBdr>
        <w:top w:val="none" w:sz="0" w:space="0" w:color="auto"/>
        <w:left w:val="none" w:sz="0" w:space="0" w:color="auto"/>
        <w:bottom w:val="none" w:sz="0" w:space="0" w:color="auto"/>
        <w:right w:val="none" w:sz="0" w:space="0" w:color="auto"/>
      </w:divBdr>
    </w:div>
    <w:div w:id="20748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GATETE MANZI</dc:creator>
  <cp:keywords/>
  <dc:description/>
  <cp:lastModifiedBy>Fabrice GATETE MANZI</cp:lastModifiedBy>
  <cp:revision>5</cp:revision>
  <cp:lastPrinted>2024-12-15T18:34:00Z</cp:lastPrinted>
  <dcterms:created xsi:type="dcterms:W3CDTF">2024-12-15T18:34:00Z</dcterms:created>
  <dcterms:modified xsi:type="dcterms:W3CDTF">2025-01-07T06:28:00Z</dcterms:modified>
</cp:coreProperties>
</file>